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500" w:lineRule="exact"/>
        <w:jc w:val="center"/>
        <w:rPr>
          <w:rFonts w:ascii="Times New Roman" w:hAnsi="Times New Roman" w:eastAsia="宋体"/>
          <w:b/>
          <w:bCs/>
          <w:sz w:val="44"/>
          <w:szCs w:val="48"/>
        </w:rPr>
      </w:pPr>
      <w:r>
        <w:rPr>
          <w:rFonts w:hint="eastAsia" w:ascii="Times New Roman" w:hAnsi="Times New Roman" w:eastAsia="宋体"/>
          <w:b/>
          <w:bCs/>
          <w:sz w:val="44"/>
          <w:szCs w:val="48"/>
        </w:rPr>
        <w:t>水土保持行政许可承诺书</w:t>
      </w:r>
    </w:p>
    <w:p>
      <w:pPr>
        <w:jc w:val="center"/>
        <w:rPr>
          <w:rFonts w:ascii="Times New Roman" w:hAnsi="Times New Roman" w:eastAsia="宋体"/>
          <w:sz w:val="24"/>
          <w:szCs w:val="28"/>
        </w:rPr>
      </w:pPr>
      <w:r>
        <w:rPr>
          <w:rFonts w:hint="eastAsia" w:ascii="Times New Roman" w:hAnsi="Times New Roman" w:eastAsia="宋体"/>
          <w:b/>
          <w:bCs/>
          <w:sz w:val="24"/>
          <w:szCs w:val="28"/>
        </w:rPr>
        <w:t xml:space="preserve"> </w:t>
      </w:r>
      <w:r>
        <w:rPr>
          <w:rFonts w:ascii="Times New Roman" w:hAnsi="Times New Roman" w:eastAsia="宋体"/>
          <w:b/>
          <w:bCs/>
          <w:sz w:val="24"/>
          <w:szCs w:val="28"/>
        </w:rPr>
        <w:t xml:space="preserve">                                   </w:t>
      </w:r>
      <w:r>
        <w:rPr>
          <w:rFonts w:ascii="Times New Roman" w:hAnsi="Times New Roman" w:eastAsia="宋体"/>
          <w:sz w:val="24"/>
          <w:szCs w:val="28"/>
        </w:rPr>
        <w:t xml:space="preserve"> </w:t>
      </w:r>
      <w:r>
        <w:rPr>
          <w:rFonts w:hint="eastAsia" w:ascii="Times New Roman" w:hAnsi="Times New Roman" w:eastAsia="宋体"/>
          <w:sz w:val="24"/>
          <w:szCs w:val="28"/>
        </w:rPr>
        <w:t>编号：</w:t>
      </w:r>
    </w:p>
    <w:tbl>
      <w:tblPr>
        <w:tblStyle w:val="4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9"/>
        <w:gridCol w:w="76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10" w:type="pct"/>
            <w:vAlign w:val="center"/>
          </w:tcPr>
          <w:p>
            <w:pPr>
              <w:spacing w:before="156" w:beforeLines="50" w:after="156" w:afterLines="50" w:line="500" w:lineRule="atLeas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项目名称</w:t>
            </w:r>
          </w:p>
        </w:tc>
        <w:tc>
          <w:tcPr>
            <w:tcW w:w="4490" w:type="pct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  <w:lang w:val="en-US" w:eastAsia="zh-CN"/>
              </w:rPr>
              <w:t>火乐智能新型显示产业园项目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10" w:type="pct"/>
            <w:vAlign w:val="center"/>
          </w:tcPr>
          <w:p>
            <w:pPr>
              <w:spacing w:before="156" w:beforeLines="50" w:after="156" w:afterLines="50" w:line="500" w:lineRule="atLeas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建设地点</w:t>
            </w:r>
          </w:p>
        </w:tc>
        <w:tc>
          <w:tcPr>
            <w:tcW w:w="4490" w:type="pct"/>
            <w:vAlign w:val="center"/>
          </w:tcPr>
          <w:p>
            <w:pPr>
              <w:spacing w:line="480" w:lineRule="auto"/>
              <w:jc w:val="center"/>
            </w:pPr>
            <w:r>
              <w:rPr>
                <w:rFonts w:hint="eastAsia" w:ascii="Times New Roman" w:hAnsi="Times New Roman" w:eastAsia="宋体"/>
                <w:sz w:val="24"/>
                <w:szCs w:val="24"/>
                <w:lang w:val="en-US" w:eastAsia="zh-CN"/>
              </w:rPr>
              <w:t>芜湖市鸠江区经济开发区（东区），北至灵鸢路、南至西昌路、东至欧阳湖路、西至神州路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10" w:type="pct"/>
            <w:vMerge w:val="restart"/>
            <w:vAlign w:val="center"/>
          </w:tcPr>
          <w:p>
            <w:pPr>
              <w:spacing w:before="156" w:beforeLines="50" w:after="156" w:afterLines="50" w:line="500" w:lineRule="atLeas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区域评估情况</w:t>
            </w:r>
          </w:p>
        </w:tc>
        <w:tc>
          <w:tcPr>
            <w:tcW w:w="4490" w:type="pct"/>
            <w:vAlign w:val="center"/>
          </w:tcPr>
          <w:p>
            <w:pPr>
              <w:spacing w:line="480" w:lineRule="auto"/>
              <w:jc w:val="left"/>
              <w:rPr>
                <w:rFonts w:hint="eastAsia" w:ascii="Times New Roman" w:hAnsi="Times New Roman" w:eastAsia="宋体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开发区域名称：</w:t>
            </w:r>
            <w:r>
              <w:rPr>
                <w:rFonts w:hint="eastAsia" w:ascii="Times New Roman" w:hAnsi="Times New Roman" w:eastAsia="宋体"/>
                <w:sz w:val="24"/>
                <w:szCs w:val="24"/>
                <w:lang w:val="en-US" w:eastAsia="zh-CN"/>
              </w:rPr>
              <w:t>鸠江区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10" w:type="pct"/>
            <w:vMerge w:val="continue"/>
            <w:vAlign w:val="center"/>
          </w:tcPr>
          <w:p>
            <w:pPr>
              <w:spacing w:before="156" w:beforeLines="50" w:after="156" w:afterLines="50" w:line="500" w:lineRule="atLeas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4490" w:type="pct"/>
            <w:vAlign w:val="center"/>
          </w:tcPr>
          <w:p>
            <w:pPr>
              <w:spacing w:line="480" w:lineRule="auto"/>
              <w:jc w:val="left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水土保持区域评估报告审批机关、文号和时间：无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10" w:type="pct"/>
            <w:vMerge w:val="restart"/>
            <w:vAlign w:val="center"/>
          </w:tcPr>
          <w:p>
            <w:pPr>
              <w:spacing w:before="156" w:beforeLines="50" w:after="156" w:afterLines="50" w:line="500" w:lineRule="atLeas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水土保持方案公开情况</w:t>
            </w:r>
          </w:p>
        </w:tc>
        <w:tc>
          <w:tcPr>
            <w:tcW w:w="4490" w:type="pct"/>
            <w:vAlign w:val="center"/>
          </w:tcPr>
          <w:p>
            <w:pPr>
              <w:spacing w:line="480" w:lineRule="auto"/>
              <w:jc w:val="left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公示网站：http://www.ahhmhb.com/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510" w:type="pct"/>
            <w:vMerge w:val="continue"/>
            <w:vAlign w:val="center"/>
          </w:tcPr>
          <w:p>
            <w:pPr>
              <w:spacing w:before="156" w:beforeLines="50" w:after="156" w:afterLines="50" w:line="500" w:lineRule="atLeas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4490" w:type="pct"/>
            <w:vAlign w:val="center"/>
          </w:tcPr>
          <w:p>
            <w:pPr>
              <w:spacing w:line="480" w:lineRule="auto"/>
              <w:jc w:val="left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起止时间：</w:t>
            </w:r>
            <w:r>
              <w:rPr>
                <w:rFonts w:ascii="Times New Roman" w:hAnsi="Times New Roman" w:eastAsia="宋体"/>
                <w:sz w:val="24"/>
                <w:szCs w:val="24"/>
              </w:rPr>
              <w:t>2</w:t>
            </w:r>
            <w:r>
              <w:rPr>
                <w:rFonts w:ascii="Times New Roman" w:hAnsi="Times New Roman" w:eastAsia="宋体"/>
                <w:sz w:val="24"/>
                <w:szCs w:val="24"/>
                <w:highlight w:val="none"/>
              </w:rPr>
              <w:t>02</w:t>
            </w:r>
            <w:r>
              <w:rPr>
                <w:rFonts w:hint="eastAsia" w:ascii="Times New Roman" w:hAnsi="Times New Roman" w:eastAsia="宋体"/>
                <w:sz w:val="24"/>
                <w:szCs w:val="24"/>
                <w:highlight w:val="none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宋体"/>
                <w:sz w:val="24"/>
                <w:szCs w:val="24"/>
                <w:highlight w:val="none"/>
              </w:rPr>
              <w:t>年</w:t>
            </w:r>
            <w:r>
              <w:rPr>
                <w:rFonts w:hint="eastAsia" w:ascii="Times New Roman" w:hAnsi="Times New Roman" w:eastAsia="宋体"/>
                <w:sz w:val="24"/>
                <w:szCs w:val="24"/>
                <w:highlight w:val="none"/>
                <w:lang w:val="en-US" w:eastAsia="zh-CN"/>
              </w:rPr>
              <w:t>4</w:t>
            </w:r>
            <w:r>
              <w:rPr>
                <w:rFonts w:hint="eastAsia" w:ascii="Times New Roman" w:hAnsi="Times New Roman" w:eastAsia="宋体"/>
                <w:sz w:val="24"/>
                <w:szCs w:val="24"/>
                <w:highlight w:val="none"/>
              </w:rPr>
              <w:t>月</w:t>
            </w:r>
            <w:r>
              <w:rPr>
                <w:rFonts w:hint="eastAsia" w:ascii="Times New Roman" w:hAnsi="Times New Roman" w:eastAsia="宋体"/>
                <w:sz w:val="24"/>
                <w:szCs w:val="24"/>
                <w:highlight w:val="none"/>
                <w:lang w:val="en-US" w:eastAsia="zh-CN"/>
              </w:rPr>
              <w:t>30</w:t>
            </w:r>
            <w:r>
              <w:rPr>
                <w:rFonts w:hint="eastAsia" w:ascii="Times New Roman" w:hAnsi="Times New Roman" w:eastAsia="宋体"/>
                <w:sz w:val="24"/>
                <w:szCs w:val="24"/>
                <w:highlight w:val="none"/>
              </w:rPr>
              <w:t>日至</w:t>
            </w:r>
            <w:r>
              <w:rPr>
                <w:rFonts w:ascii="Times New Roman" w:hAnsi="Times New Roman" w:eastAsia="宋体"/>
                <w:sz w:val="24"/>
                <w:szCs w:val="24"/>
                <w:highlight w:val="none"/>
              </w:rPr>
              <w:t>202</w:t>
            </w:r>
            <w:r>
              <w:rPr>
                <w:rFonts w:hint="eastAsia" w:ascii="Times New Roman" w:hAnsi="Times New Roman" w:eastAsia="宋体"/>
                <w:sz w:val="24"/>
                <w:szCs w:val="24"/>
                <w:highlight w:val="none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宋体"/>
                <w:sz w:val="24"/>
                <w:szCs w:val="24"/>
                <w:highlight w:val="none"/>
              </w:rPr>
              <w:t>年</w:t>
            </w:r>
            <w:r>
              <w:rPr>
                <w:rFonts w:hint="eastAsia" w:ascii="Times New Roman" w:hAnsi="Times New Roman" w:eastAsia="宋体"/>
                <w:sz w:val="24"/>
                <w:szCs w:val="24"/>
                <w:highlight w:val="none"/>
                <w:lang w:val="en-US" w:eastAsia="zh-CN"/>
              </w:rPr>
              <w:t>5</w:t>
            </w:r>
            <w:r>
              <w:rPr>
                <w:rFonts w:hint="eastAsia" w:ascii="Times New Roman" w:hAnsi="Times New Roman" w:eastAsia="宋体"/>
                <w:sz w:val="24"/>
                <w:szCs w:val="24"/>
                <w:highlight w:val="none"/>
              </w:rPr>
              <w:t>月</w:t>
            </w:r>
            <w:r>
              <w:rPr>
                <w:rFonts w:hint="eastAsia" w:ascii="Times New Roman" w:hAnsi="Times New Roman" w:eastAsia="宋体"/>
                <w:sz w:val="24"/>
                <w:szCs w:val="24"/>
                <w:highlight w:val="none"/>
                <w:lang w:val="en-US" w:eastAsia="zh-CN"/>
              </w:rPr>
              <w:t>17</w:t>
            </w:r>
            <w:r>
              <w:rPr>
                <w:rFonts w:hint="eastAsia" w:ascii="Times New Roman" w:hAnsi="Times New Roman" w:eastAsia="宋体"/>
                <w:sz w:val="24"/>
                <w:szCs w:val="24"/>
                <w:highlight w:val="none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10" w:type="pct"/>
            <w:vMerge w:val="continue"/>
            <w:vAlign w:val="center"/>
          </w:tcPr>
          <w:p>
            <w:pPr>
              <w:spacing w:before="156" w:beforeLines="50" w:after="156" w:afterLines="50" w:line="500" w:lineRule="atLeas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4490" w:type="pct"/>
            <w:vAlign w:val="center"/>
          </w:tcPr>
          <w:p>
            <w:pPr>
              <w:spacing w:after="156" w:afterLines="50" w:line="500" w:lineRule="atLeast"/>
              <w:jc w:val="left"/>
              <w:rPr>
                <w:rFonts w:hint="eastAsia" w:ascii="Times New Roman" w:hAnsi="Times New Roman" w:eastAsia="宋体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公众意见接收和处理情况:</w:t>
            </w:r>
            <w:r>
              <w:rPr>
                <w:rFonts w:hint="eastAsia" w:ascii="Times New Roman" w:hAnsi="Times New Roman" w:eastAsia="宋体"/>
                <w:sz w:val="24"/>
                <w:szCs w:val="24"/>
                <w:highlight w:val="none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10" w:type="pct"/>
            <w:vMerge w:val="restart"/>
            <w:vAlign w:val="center"/>
          </w:tcPr>
          <w:p>
            <w:pPr>
              <w:spacing w:before="156" w:beforeLines="50" w:after="156" w:afterLines="50" w:line="500" w:lineRule="atLeas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生产建设单位</w:t>
            </w:r>
          </w:p>
        </w:tc>
        <w:tc>
          <w:tcPr>
            <w:tcW w:w="4490" w:type="pct"/>
            <w:vAlign w:val="center"/>
          </w:tcPr>
          <w:p>
            <w:pPr>
              <w:spacing w:after="156" w:afterLines="50" w:line="500" w:lineRule="atLeast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名称：</w:t>
            </w:r>
            <w:r>
              <w:rPr>
                <w:rFonts w:hint="eastAsia" w:ascii="Times New Roman" w:hAnsi="Times New Roman" w:eastAsia="宋体"/>
                <w:sz w:val="24"/>
                <w:szCs w:val="24"/>
                <w:lang w:val="en-US" w:eastAsia="zh-CN"/>
              </w:rPr>
              <w:t>安徽省火乐智能科技有限公司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10" w:type="pct"/>
            <w:vMerge w:val="continue"/>
            <w:vAlign w:val="center"/>
          </w:tcPr>
          <w:p>
            <w:pPr>
              <w:spacing w:before="156" w:beforeLines="50" w:after="156" w:afterLines="50" w:line="500" w:lineRule="atLeas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4490" w:type="pct"/>
            <w:vAlign w:val="center"/>
          </w:tcPr>
          <w:p>
            <w:pPr>
              <w:spacing w:after="156" w:afterLines="50" w:line="500" w:lineRule="atLeast"/>
              <w:jc w:val="left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社会信用统一代码：</w:t>
            </w:r>
            <w:r>
              <w:rPr>
                <w:rFonts w:hint="eastAsia" w:ascii="Times New Roman" w:hAnsi="Times New Roman" w:eastAsia="宋体"/>
                <w:sz w:val="24"/>
                <w:szCs w:val="24"/>
                <w:lang w:val="en-US" w:eastAsia="zh-CN"/>
              </w:rPr>
              <w:t>91340207MA2W8AT13K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10" w:type="pct"/>
            <w:vMerge w:val="continue"/>
            <w:vAlign w:val="center"/>
          </w:tcPr>
          <w:p>
            <w:pPr>
              <w:spacing w:before="156" w:beforeLines="50" w:after="156" w:afterLines="50" w:line="500" w:lineRule="atLeas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4490" w:type="pct"/>
            <w:vAlign w:val="center"/>
          </w:tcPr>
          <w:p>
            <w:pPr>
              <w:spacing w:after="156" w:afterLines="50" w:line="500" w:lineRule="atLeast"/>
              <w:jc w:val="left"/>
              <w:rPr>
                <w:rFonts w:hint="eastAsia" w:ascii="Times New Roman" w:hAnsi="Times New Roman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地    址：</w:t>
            </w:r>
            <w:r>
              <w:rPr>
                <w:rFonts w:hint="eastAsia" w:ascii="Times New Roman" w:hAnsi="Times New Roman" w:eastAsia="宋体"/>
                <w:sz w:val="24"/>
                <w:szCs w:val="24"/>
                <w:lang w:val="en-US" w:eastAsia="zh-CN"/>
              </w:rPr>
              <w:t>安徽省芜湖市鸠江区鸠江经济开发区电子产业园综合楼4楼453室</w:t>
            </w:r>
          </w:p>
          <w:p>
            <w:pPr>
              <w:spacing w:after="156" w:afterLines="50" w:line="500" w:lineRule="atLeast"/>
              <w:jc w:val="left"/>
              <w:rPr>
                <w:rFonts w:hint="eastAsia" w:ascii="Times New Roman" w:hAnsi="Times New Roman" w:eastAsia="宋体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电子信箱：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510" w:type="pct"/>
            <w:vMerge w:val="continue"/>
            <w:vAlign w:val="center"/>
          </w:tcPr>
          <w:p>
            <w:pPr>
              <w:spacing w:before="156" w:beforeLines="50" w:after="156" w:afterLines="50" w:line="500" w:lineRule="atLeas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4490" w:type="pct"/>
            <w:vAlign w:val="center"/>
          </w:tcPr>
          <w:p>
            <w:pPr>
              <w:spacing w:after="156" w:afterLines="50" w:line="500" w:lineRule="atLeast"/>
              <w:jc w:val="left"/>
              <w:rPr>
                <w:rFonts w:hint="eastAsia" w:ascii="Times New Roman" w:hAnsi="Times New Roman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法人代表：</w:t>
            </w:r>
            <w:r>
              <w:rPr>
                <w:rFonts w:hint="eastAsia" w:ascii="Times New Roman" w:hAnsi="Times New Roman" w:eastAsia="宋体"/>
                <w:sz w:val="24"/>
                <w:szCs w:val="24"/>
                <w:lang w:val="en-US" w:eastAsia="zh-CN"/>
              </w:rPr>
              <w:t>胡震宇</w:t>
            </w:r>
            <w:r>
              <w:rPr>
                <w:rFonts w:hint="eastAsia" w:ascii="Times New Roman" w:hAnsi="Times New Roman" w:eastAsia="宋体"/>
                <w:sz w:val="24"/>
                <w:szCs w:val="24"/>
              </w:rPr>
              <w:t xml:space="preserve">       联系电话：</w:t>
            </w:r>
            <w:r>
              <w:rPr>
                <w:rFonts w:hint="eastAsia" w:ascii="Times New Roman" w:hAnsi="Times New Roman" w:eastAsia="宋体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</w:trPr>
        <w:tc>
          <w:tcPr>
            <w:tcW w:w="510" w:type="pct"/>
            <w:vMerge w:val="continue"/>
            <w:vAlign w:val="center"/>
          </w:tcPr>
          <w:p>
            <w:pPr>
              <w:spacing w:before="156" w:beforeLines="50" w:after="156" w:afterLines="50" w:line="500" w:lineRule="atLeas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4490" w:type="pct"/>
            <w:vAlign w:val="center"/>
          </w:tcPr>
          <w:p>
            <w:pPr>
              <w:spacing w:before="156" w:beforeLines="50" w:after="156" w:afterLines="50" w:line="500" w:lineRule="atLeast"/>
              <w:jc w:val="left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授权经办人姓名：</w:t>
            </w:r>
            <w:r>
              <w:rPr>
                <w:rFonts w:hint="eastAsia" w:ascii="Times New Roman" w:hAnsi="Times New Roman" w:eastAsia="宋体"/>
                <w:sz w:val="24"/>
                <w:szCs w:val="24"/>
                <w:lang w:val="en-US" w:eastAsia="zh-CN"/>
              </w:rPr>
              <w:t>夏雯</w:t>
            </w:r>
            <w:r>
              <w:rPr>
                <w:rFonts w:hint="eastAsia" w:ascii="Times New Roman" w:hAnsi="Times New Roman" w:eastAsia="宋体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宋体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宋体"/>
                <w:sz w:val="24"/>
                <w:szCs w:val="24"/>
              </w:rPr>
              <w:t>联系电话：18505532568</w:t>
            </w:r>
          </w:p>
          <w:p>
            <w:pPr>
              <w:spacing w:before="156" w:beforeLines="50" w:after="156" w:afterLines="50" w:line="500" w:lineRule="atLeast"/>
              <w:jc w:val="left"/>
              <w:rPr>
                <w:rFonts w:hint="eastAsia" w:ascii="Times New Roman" w:hAnsi="Times New Roman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证件类型及号码：</w:t>
            </w:r>
            <w:r>
              <w:rPr>
                <w:rFonts w:hint="eastAsia" w:ascii="Times New Roman" w:hAnsi="Times New Roman" w:eastAsia="宋体"/>
                <w:sz w:val="24"/>
                <w:szCs w:val="24"/>
                <w:lang w:val="en-US" w:eastAsia="zh-CN"/>
              </w:rPr>
              <w:t>/</w:t>
            </w:r>
          </w:p>
          <w:p>
            <w:pPr>
              <w:spacing w:before="156" w:beforeLines="50" w:after="156" w:afterLines="50" w:line="500" w:lineRule="atLeast"/>
              <w:jc w:val="left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10" w:type="pct"/>
            <w:vAlign w:val="center"/>
          </w:tcPr>
          <w:p>
            <w:pPr>
              <w:spacing w:before="156" w:beforeLines="50" w:after="156" w:afterLines="50" w:line="500" w:lineRule="atLeas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生产建设单位承诺内容</w:t>
            </w:r>
          </w:p>
        </w:tc>
        <w:tc>
          <w:tcPr>
            <w:tcW w:w="4490" w:type="pct"/>
            <w:vAlign w:val="center"/>
          </w:tcPr>
          <w:p>
            <w:pPr>
              <w:spacing w:line="500" w:lineRule="atLeast"/>
              <w:ind w:firstLine="480" w:firstLineChars="200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1、已经知晓并将认真履行水土保持各项法定义务。</w:t>
            </w:r>
          </w:p>
          <w:p>
            <w:pPr>
              <w:spacing w:line="500" w:lineRule="atLeast"/>
              <w:ind w:firstLine="480" w:firstLineChars="200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2、所填写的信息真实、完整、准确；所提交的水土保持方案符合相关法律法规、技术标准的要求。</w:t>
            </w:r>
          </w:p>
          <w:p>
            <w:pPr>
              <w:spacing w:line="500" w:lineRule="atLeast"/>
              <w:ind w:firstLine="480" w:firstLineChars="200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3、严格执行水土保持“三同时”制度，按照所提交的水土保持方案，落实各项水土保持措施，有效防治项目建设中的水土流失；项目投产使用前完成水土保持设施自主验收并报备。</w:t>
            </w:r>
          </w:p>
          <w:p>
            <w:pPr>
              <w:spacing w:line="500" w:lineRule="atLeast"/>
              <w:ind w:firstLine="480" w:firstLineChars="200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4、依法依规按时足额缴纳水土保持补偿费。</w:t>
            </w:r>
          </w:p>
          <w:p>
            <w:pPr>
              <w:spacing w:line="500" w:lineRule="atLeast"/>
              <w:ind w:firstLine="480" w:firstLineChars="200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5、积极配合水土保持监督检查。</w:t>
            </w:r>
          </w:p>
          <w:p>
            <w:pPr>
              <w:spacing w:line="500" w:lineRule="atLeast"/>
              <w:ind w:firstLine="480" w:firstLineChars="200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6、愿意承担作出不实承诺或者未履行承诺的法律责任和失信责任。</w:t>
            </w:r>
          </w:p>
          <w:p>
            <w:pPr>
              <w:spacing w:line="500" w:lineRule="atLeast"/>
              <w:ind w:firstLine="480" w:firstLineChars="200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7、其他需要承诺的事项：</w:t>
            </w:r>
          </w:p>
          <w:p>
            <w:pPr>
              <w:spacing w:before="156" w:beforeLines="50" w:line="480" w:lineRule="auto"/>
              <w:ind w:firstLine="960" w:firstLineChars="400"/>
              <w:jc w:val="left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法人代表（签字）：</w:t>
            </w:r>
          </w:p>
          <w:p>
            <w:pPr>
              <w:spacing w:before="156" w:beforeLines="50" w:line="480" w:lineRule="auto"/>
              <w:ind w:firstLine="480" w:firstLineChars="200"/>
              <w:jc w:val="left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生产建设单位（盖章）：</w:t>
            </w:r>
          </w:p>
          <w:p>
            <w:pPr>
              <w:spacing w:after="156" w:afterLines="50" w:line="500" w:lineRule="atLeast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宋体"/>
                <w:sz w:val="24"/>
                <w:szCs w:val="24"/>
              </w:rPr>
              <w:t xml:space="preserve">                                         </w:t>
            </w:r>
            <w:r>
              <w:rPr>
                <w:rFonts w:hint="eastAsia" w:ascii="Times New Roman" w:hAnsi="Times New Roman" w:eastAsia="宋体"/>
                <w:sz w:val="24"/>
                <w:szCs w:val="24"/>
              </w:rPr>
              <w:t xml:space="preserve">年 </w:t>
            </w:r>
            <w:r>
              <w:rPr>
                <w:rFonts w:ascii="Times New Roman" w:hAnsi="Times New Roman" w:eastAsia="宋体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宋体"/>
                <w:sz w:val="24"/>
                <w:szCs w:val="24"/>
              </w:rPr>
              <w:t xml:space="preserve">月 </w:t>
            </w:r>
            <w:r>
              <w:rPr>
                <w:rFonts w:ascii="Times New Roman" w:hAnsi="Times New Roman" w:eastAsia="宋体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宋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10" w:type="pct"/>
            <w:vAlign w:val="center"/>
          </w:tcPr>
          <w:p>
            <w:pPr>
              <w:spacing w:before="156" w:beforeLines="50" w:after="156" w:afterLines="50" w:line="500" w:lineRule="atLeas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审批部门许可决定</w:t>
            </w:r>
          </w:p>
        </w:tc>
        <w:tc>
          <w:tcPr>
            <w:tcW w:w="4490" w:type="pct"/>
            <w:vAlign w:val="center"/>
          </w:tcPr>
          <w:p>
            <w:pPr>
              <w:spacing w:before="156" w:beforeLines="50" w:line="500" w:lineRule="atLeast"/>
              <w:ind w:firstLine="480" w:firstLineChars="200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上述承诺以及提交的水土保持方案，材料完整、格式符合规定要求，准予许可。</w:t>
            </w:r>
          </w:p>
          <w:p>
            <w:pPr>
              <w:spacing w:after="156" w:afterLines="50" w:line="500" w:lineRule="atLeast"/>
              <w:ind w:firstLine="480" w:firstLineChars="200"/>
              <w:rPr>
                <w:rFonts w:ascii="Times New Roman" w:hAnsi="Times New Roman" w:eastAsia="宋体"/>
                <w:sz w:val="24"/>
                <w:szCs w:val="24"/>
              </w:rPr>
            </w:pPr>
          </w:p>
          <w:p>
            <w:pPr>
              <w:spacing w:after="156" w:afterLines="50" w:line="480" w:lineRule="auto"/>
              <w:ind w:firstLine="480" w:firstLineChars="200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水行政主管部门或者</w:t>
            </w:r>
          </w:p>
          <w:p>
            <w:pPr>
              <w:spacing w:after="156" w:afterLines="50" w:line="480" w:lineRule="auto"/>
              <w:ind w:firstLine="480" w:firstLineChars="200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其他审批部门（盖章）</w:t>
            </w:r>
          </w:p>
          <w:p>
            <w:pPr>
              <w:spacing w:after="156" w:afterLines="50" w:line="500" w:lineRule="atLeast"/>
              <w:ind w:firstLine="480" w:firstLineChars="200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宋体"/>
                <w:sz w:val="24"/>
                <w:szCs w:val="24"/>
              </w:rPr>
              <w:t xml:space="preserve">                                      </w:t>
            </w:r>
            <w:r>
              <w:rPr>
                <w:rFonts w:hint="eastAsia" w:ascii="Times New Roman" w:hAnsi="Times New Roman" w:eastAsia="宋体"/>
                <w:sz w:val="24"/>
                <w:szCs w:val="24"/>
              </w:rPr>
              <w:t xml:space="preserve">年 </w:t>
            </w:r>
            <w:r>
              <w:rPr>
                <w:rFonts w:ascii="Times New Roman" w:hAnsi="Times New Roman" w:eastAsia="宋体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宋体"/>
                <w:sz w:val="24"/>
                <w:szCs w:val="24"/>
              </w:rPr>
              <w:t xml:space="preserve">月 </w:t>
            </w:r>
            <w:r>
              <w:rPr>
                <w:rFonts w:ascii="Times New Roman" w:hAnsi="Times New Roman" w:eastAsia="宋体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宋体"/>
                <w:sz w:val="24"/>
                <w:szCs w:val="24"/>
              </w:rPr>
              <w:t>日</w:t>
            </w:r>
          </w:p>
        </w:tc>
      </w:tr>
    </w:tbl>
    <w:p>
      <w:pPr>
        <w:jc w:val="center"/>
        <w:rPr>
          <w:rFonts w:ascii="Times New Roman" w:hAnsi="Times New Roman" w:eastAsia="宋体"/>
          <w:b/>
          <w:bCs/>
          <w:sz w:val="24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923849"/>
    <w:rsid w:val="071B3942"/>
    <w:rsid w:val="15825CD2"/>
    <w:rsid w:val="50923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  <w:style w:type="table" w:styleId="4">
    <w:name w:val="Table Grid"/>
    <w:basedOn w:val="3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FollowedHyperlink"/>
    <w:basedOn w:val="5"/>
    <w:qFormat/>
    <w:uiPriority w:val="0"/>
    <w:rPr>
      <w:color w:val="2490F8"/>
      <w:u w:val="single"/>
    </w:rPr>
  </w:style>
  <w:style w:type="character" w:styleId="7">
    <w:name w:val="Hyperlink"/>
    <w:basedOn w:val="5"/>
    <w:uiPriority w:val="0"/>
    <w:rPr>
      <w:color w:val="2490F8"/>
      <w:u w:val="single"/>
    </w:rPr>
  </w:style>
  <w:style w:type="character" w:customStyle="1" w:styleId="8">
    <w:name w:val="cdropright"/>
    <w:basedOn w:val="5"/>
    <w:uiPriority w:val="0"/>
  </w:style>
  <w:style w:type="character" w:customStyle="1" w:styleId="9">
    <w:name w:val="ico1654"/>
    <w:basedOn w:val="5"/>
    <w:uiPriority w:val="0"/>
  </w:style>
  <w:style w:type="character" w:customStyle="1" w:styleId="10">
    <w:name w:val="iconline2"/>
    <w:basedOn w:val="5"/>
    <w:qFormat/>
    <w:uiPriority w:val="0"/>
  </w:style>
  <w:style w:type="character" w:customStyle="1" w:styleId="11">
    <w:name w:val="iconline21"/>
    <w:basedOn w:val="5"/>
    <w:qFormat/>
    <w:uiPriority w:val="0"/>
  </w:style>
  <w:style w:type="character" w:customStyle="1" w:styleId="12">
    <w:name w:val="button"/>
    <w:basedOn w:val="5"/>
    <w:qFormat/>
    <w:uiPriority w:val="0"/>
  </w:style>
  <w:style w:type="character" w:customStyle="1" w:styleId="13">
    <w:name w:val="drapbtn"/>
    <w:basedOn w:val="5"/>
    <w:qFormat/>
    <w:uiPriority w:val="0"/>
  </w:style>
  <w:style w:type="character" w:customStyle="1" w:styleId="14">
    <w:name w:val="active5"/>
    <w:basedOn w:val="5"/>
    <w:qFormat/>
    <w:uiPriority w:val="0"/>
    <w:rPr>
      <w:color w:val="00FF00"/>
      <w:shd w:val="clear" w:fill="111111"/>
    </w:rPr>
  </w:style>
  <w:style w:type="character" w:customStyle="1" w:styleId="15">
    <w:name w:val="active6"/>
    <w:basedOn w:val="5"/>
    <w:uiPriority w:val="0"/>
    <w:rPr>
      <w:shd w:val="clear" w:fill="EC3535"/>
    </w:rPr>
  </w:style>
  <w:style w:type="character" w:customStyle="1" w:styleId="16">
    <w:name w:val="pagechatarealistclose_box"/>
    <w:basedOn w:val="5"/>
    <w:qFormat/>
    <w:uiPriority w:val="0"/>
  </w:style>
  <w:style w:type="character" w:customStyle="1" w:styleId="17">
    <w:name w:val="pagechatarealistclose_box1"/>
    <w:basedOn w:val="5"/>
    <w:uiPriority w:val="0"/>
  </w:style>
  <w:style w:type="character" w:customStyle="1" w:styleId="18">
    <w:name w:val="icontext1"/>
    <w:basedOn w:val="5"/>
    <w:uiPriority w:val="0"/>
  </w:style>
  <w:style w:type="character" w:customStyle="1" w:styleId="19">
    <w:name w:val="icontext11"/>
    <w:basedOn w:val="5"/>
    <w:qFormat/>
    <w:uiPriority w:val="0"/>
  </w:style>
  <w:style w:type="character" w:customStyle="1" w:styleId="20">
    <w:name w:val="icontext12"/>
    <w:basedOn w:val="5"/>
    <w:qFormat/>
    <w:uiPriority w:val="0"/>
  </w:style>
  <w:style w:type="character" w:customStyle="1" w:styleId="21">
    <w:name w:val="icontext2"/>
    <w:basedOn w:val="5"/>
    <w:qFormat/>
    <w:uiPriority w:val="0"/>
  </w:style>
  <w:style w:type="character" w:customStyle="1" w:styleId="22">
    <w:name w:val="icontext3"/>
    <w:basedOn w:val="5"/>
    <w:qFormat/>
    <w:uiPriority w:val="0"/>
  </w:style>
  <w:style w:type="character" w:customStyle="1" w:styleId="23">
    <w:name w:val="cy"/>
    <w:basedOn w:val="5"/>
    <w:uiPriority w:val="0"/>
  </w:style>
  <w:style w:type="character" w:customStyle="1" w:styleId="24">
    <w:name w:val="layui-layer-tabnow"/>
    <w:basedOn w:val="5"/>
    <w:qFormat/>
    <w:uiPriority w:val="0"/>
    <w:rPr>
      <w:bdr w:val="single" w:color="CCCCCC" w:sz="6" w:space="0"/>
      <w:shd w:val="clear" w:fill="FFFFFF"/>
    </w:rPr>
  </w:style>
  <w:style w:type="character" w:customStyle="1" w:styleId="25">
    <w:name w:val="first-child"/>
    <w:basedOn w:val="5"/>
    <w:qFormat/>
    <w:uiPriority w:val="0"/>
  </w:style>
  <w:style w:type="character" w:customStyle="1" w:styleId="26">
    <w:name w:val="after"/>
    <w:basedOn w:val="5"/>
    <w:qFormat/>
    <w:uiPriority w:val="0"/>
    <w:rPr>
      <w:sz w:val="0"/>
      <w:szCs w:val="0"/>
    </w:rPr>
  </w:style>
  <w:style w:type="character" w:customStyle="1" w:styleId="27">
    <w:name w:val="hilite6"/>
    <w:basedOn w:val="5"/>
    <w:qFormat/>
    <w:uiPriority w:val="0"/>
    <w:rPr>
      <w:color w:val="FFFFFF"/>
      <w:shd w:val="clear" w:fill="666666"/>
    </w:rPr>
  </w:style>
  <w:style w:type="character" w:customStyle="1" w:styleId="28">
    <w:name w:val="associateddata"/>
    <w:basedOn w:val="5"/>
    <w:qFormat/>
    <w:uiPriority w:val="0"/>
    <w:rPr>
      <w:shd w:val="clear" w:fill="50A6F9"/>
    </w:rPr>
  </w:style>
  <w:style w:type="character" w:customStyle="1" w:styleId="29">
    <w:name w:val="w32"/>
    <w:basedOn w:val="5"/>
    <w:uiPriority w:val="0"/>
  </w:style>
  <w:style w:type="character" w:customStyle="1" w:styleId="30">
    <w:name w:val="tmpztreemove_arrow"/>
    <w:basedOn w:val="5"/>
    <w:uiPriority w:val="0"/>
  </w:style>
  <w:style w:type="character" w:customStyle="1" w:styleId="31">
    <w:name w:val="cdropleft"/>
    <w:basedOn w:val="5"/>
    <w:qFormat/>
    <w:uiPriority w:val="0"/>
  </w:style>
  <w:style w:type="character" w:customStyle="1" w:styleId="32">
    <w:name w:val="hilite"/>
    <w:basedOn w:val="5"/>
    <w:uiPriority w:val="0"/>
    <w:rPr>
      <w:color w:val="FFFFFF"/>
      <w:shd w:val="clear" w:fill="666666"/>
    </w:rPr>
  </w:style>
  <w:style w:type="character" w:customStyle="1" w:styleId="33">
    <w:name w:val="active7"/>
    <w:basedOn w:val="5"/>
    <w:qFormat/>
    <w:uiPriority w:val="0"/>
    <w:rPr>
      <w:color w:val="00FF00"/>
      <w:shd w:val="clear" w:fill="111111"/>
    </w:rPr>
  </w:style>
  <w:style w:type="character" w:customStyle="1" w:styleId="34">
    <w:name w:val="active8"/>
    <w:basedOn w:val="5"/>
    <w:qFormat/>
    <w:uiPriority w:val="0"/>
    <w:rPr>
      <w:shd w:val="clear" w:fill="EC3535"/>
    </w:rPr>
  </w:style>
  <w:style w:type="character" w:customStyle="1" w:styleId="35">
    <w:name w:val="button4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2021-05-17T01:51:00Z</dcterms:created>
  <dc:creator>秦永生</dc:creator>
  <cp:lastModifiedBy>秦永生</cp:lastModifiedBy>
  <dcterms:modified xsi:type="dcterms:W3CDTF">2021-05-17T03:05:35Z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9E3E33431DC04F7EB9C25A5A6477FF51</vt:lpwstr>
  </property>
</Properties>
</file>