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6D0DD3">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绍兴杰毅医疗器械有限公司新一代分子诊断智造基地项目一期</w:t>
      </w:r>
    </w:p>
    <w:p w14:paraId="2032BAAB">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b/>
          <w:bCs/>
          <w:sz w:val="24"/>
          <w:szCs w:val="24"/>
        </w:rPr>
        <w:t>竣工环境保护验收意见</w:t>
      </w:r>
    </w:p>
    <w:p w14:paraId="26BAFBC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auto"/>
          <w:sz w:val="24"/>
          <w:szCs w:val="24"/>
          <w:lang w:val="en-US" w:eastAsia="zh-CN"/>
        </w:rPr>
      </w:pPr>
      <w:r>
        <w:rPr>
          <w:rFonts w:hint="eastAsia" w:ascii="Times New Roman" w:hAnsi="Times New Roman" w:eastAsia="宋体" w:cs="Times New Roman"/>
          <w:color w:val="000000" w:themeColor="text1"/>
          <w:sz w:val="24"/>
          <w:szCs w:val="24"/>
          <w:lang w:val="en-US" w:eastAsia="zh-CN"/>
          <w14:textFill>
            <w14:solidFill>
              <w14:schemeClr w14:val="tx1"/>
            </w14:solidFill>
          </w14:textFill>
        </w:rPr>
        <w:t>2026年6月6日</w:t>
      </w:r>
      <w:r>
        <w:rPr>
          <w:rFonts w:hint="eastAsia" w:ascii="Times New Roman" w:hAnsi="Times New Roman" w:eastAsia="宋体" w:cs="Times New Roman"/>
          <w:color w:val="auto"/>
          <w:sz w:val="24"/>
          <w:szCs w:val="24"/>
          <w:lang w:val="en-US" w:eastAsia="zh-CN"/>
        </w:rPr>
        <w:t>，绍兴杰毅医疗器械有限公司根据绍兴杰毅医疗器械有限公司新一代分子诊断智造基地项目一期竣工环境保护验收监测报告表并对照《建设项目竣工环境保护验收暂行办法》，严格依照国家有关法律法规、建设项目竣工环境保护验收技术规范、本项目环境影响登记表和审批部门审批决定等要求，邀请相关单位人员及专家组成验收工作组(名单附后)对本项目进行竣工环境保护验收，提出如下意见:</w:t>
      </w:r>
    </w:p>
    <w:p w14:paraId="76404A93">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1建设项目基本情况</w:t>
      </w:r>
    </w:p>
    <w:p w14:paraId="1F3DD485">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1.1建设地点、规模、主要建设内容</w:t>
      </w:r>
    </w:p>
    <w:p w14:paraId="7E3CFC7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000000"/>
          <w:kern w:val="0"/>
          <w:sz w:val="24"/>
          <w:szCs w:val="24"/>
          <w:lang w:val="en-US" w:eastAsia="zh-CN" w:bidi="ar"/>
        </w:rPr>
      </w:pPr>
      <w:r>
        <w:rPr>
          <w:rFonts w:hint="eastAsia" w:ascii="Times New Roman" w:hAnsi="Times New Roman" w:eastAsia="宋体" w:cs="Times New Roman"/>
          <w:color w:val="000000"/>
          <w:kern w:val="0"/>
          <w:sz w:val="24"/>
          <w:szCs w:val="24"/>
          <w:lang w:val="en-US" w:eastAsia="zh-CN" w:bidi="ar"/>
        </w:rPr>
        <w:t>本项目属于新建项目。本项目位于</w:t>
      </w:r>
      <w:r>
        <w:rPr>
          <w:rFonts w:hint="eastAsia" w:ascii="宋体" w:hAnsi="宋体" w:cs="宋体"/>
          <w:color w:val="auto"/>
          <w:sz w:val="24"/>
          <w:szCs w:val="24"/>
          <w:highlight w:val="none"/>
          <w:u w:val="none"/>
          <w:lang w:val="en-US" w:eastAsia="zh-CN"/>
        </w:rPr>
        <w:t>浙江</w:t>
      </w:r>
      <w:r>
        <w:rPr>
          <w:rFonts w:hint="eastAsia" w:ascii="宋体" w:hAnsi="宋体" w:cs="宋体"/>
          <w:color w:val="auto"/>
          <w:sz w:val="24"/>
          <w:szCs w:val="24"/>
          <w:highlight w:val="none"/>
          <w:u w:val="none"/>
        </w:rPr>
        <w:t>省</w:t>
      </w:r>
      <w:r>
        <w:rPr>
          <w:rFonts w:hint="eastAsia" w:ascii="宋体" w:hAnsi="宋体" w:cs="宋体"/>
          <w:color w:val="auto"/>
          <w:sz w:val="24"/>
          <w:szCs w:val="24"/>
          <w:highlight w:val="none"/>
          <w:u w:val="none"/>
          <w:lang w:val="en-US" w:eastAsia="zh-CN"/>
        </w:rPr>
        <w:t>绍兴</w:t>
      </w:r>
      <w:r>
        <w:rPr>
          <w:rFonts w:hint="eastAsia" w:ascii="宋体" w:hAnsi="宋体" w:cs="宋体"/>
          <w:color w:val="auto"/>
          <w:sz w:val="24"/>
          <w:szCs w:val="24"/>
          <w:highlight w:val="none"/>
          <w:u w:val="none"/>
        </w:rPr>
        <w:t>市</w:t>
      </w:r>
      <w:r>
        <w:rPr>
          <w:rFonts w:hint="eastAsia" w:ascii="宋体" w:hAnsi="宋体" w:cs="宋体"/>
          <w:color w:val="auto"/>
          <w:sz w:val="24"/>
          <w:szCs w:val="24"/>
          <w:highlight w:val="none"/>
          <w:u w:val="none"/>
          <w:lang w:val="en-US" w:eastAsia="zh-CN"/>
        </w:rPr>
        <w:t>诸暨市</w:t>
      </w:r>
      <w:r>
        <w:rPr>
          <w:rFonts w:hint="eastAsia" w:ascii="宋体" w:hAnsi="宋体" w:cs="宋体"/>
          <w:color w:val="auto"/>
          <w:sz w:val="24"/>
          <w:szCs w:val="24"/>
          <w:highlight w:val="none"/>
          <w:u w:val="none"/>
        </w:rPr>
        <w:t>陶朱街道文种路7号3号楼3层302</w:t>
      </w:r>
      <w:r>
        <w:rPr>
          <w:rFonts w:hint="eastAsia" w:ascii="Times New Roman" w:hAnsi="Times New Roman" w:eastAsia="宋体" w:cs="Times New Roman"/>
          <w:color w:val="000000"/>
          <w:kern w:val="0"/>
          <w:sz w:val="24"/>
          <w:szCs w:val="24"/>
          <w:lang w:val="en-US" w:eastAsia="zh-CN" w:bidi="ar"/>
        </w:rPr>
        <w:t>，总用地面积为</w:t>
      </w:r>
      <w:r>
        <w:rPr>
          <w:rFonts w:hint="eastAsia" w:ascii="宋体" w:hAnsi="宋体" w:cs="宋体"/>
          <w:color w:val="auto"/>
          <w:sz w:val="24"/>
          <w:szCs w:val="24"/>
          <w:highlight w:val="none"/>
          <w:u w:val="none"/>
          <w:lang w:val="en-US" w:eastAsia="zh-CN"/>
        </w:rPr>
        <w:t>3959.78m</w:t>
      </w:r>
      <w:r>
        <w:rPr>
          <w:rFonts w:hint="eastAsia" w:ascii="Times New Roman" w:hAnsi="Times New Roman" w:eastAsia="宋体" w:cs="Times New Roman"/>
          <w:color w:val="000000"/>
          <w:kern w:val="0"/>
          <w:sz w:val="24"/>
          <w:szCs w:val="24"/>
          <w:vertAlign w:val="superscript"/>
          <w:lang w:val="en-US" w:eastAsia="zh-CN" w:bidi="ar"/>
        </w:rPr>
        <w:t>2</w:t>
      </w:r>
      <w:r>
        <w:rPr>
          <w:rFonts w:hint="eastAsia" w:ascii="Times New Roman" w:hAnsi="Times New Roman" w:eastAsia="宋体" w:cs="Times New Roman"/>
          <w:color w:val="000000"/>
          <w:kern w:val="0"/>
          <w:sz w:val="24"/>
          <w:szCs w:val="24"/>
          <w:lang w:val="en-US" w:eastAsia="zh-CN" w:bidi="ar"/>
        </w:rPr>
        <w:t>，主要购置生产和质检设备包括水系统、高通量测序仪、荧光定量PCR仪、普通PCR仪、全自动移液工作站、半自动封盖机、冷冻及冷藏库设备等。主体工程包括实验室分为4块区域，依次为：样本准备室、样本制备室、扩增室、分析室。给排水工程、储运工程和废气处理设施、危废贮存间、噪声治理等环保工程。</w:t>
      </w:r>
    </w:p>
    <w:p w14:paraId="1A1BCA4C">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default"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1.2建设过程及环境保护审批情况</w:t>
      </w:r>
    </w:p>
    <w:p w14:paraId="61CAEFC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2025年4月，编制完成了《</w:t>
      </w:r>
      <w:r>
        <w:rPr>
          <w:rFonts w:hint="default" w:ascii="Times New Roman" w:hAnsi="Times New Roman" w:eastAsia="宋体" w:cs="Times New Roman"/>
          <w:color w:val="auto"/>
          <w:kern w:val="2"/>
          <w:sz w:val="24"/>
          <w:szCs w:val="24"/>
          <w:u w:val="none"/>
          <w:lang w:val="en-US" w:eastAsia="zh-CN" w:bidi="ar"/>
        </w:rPr>
        <w:t>绍兴杰毅医疗器械有限公司新一代分子诊断智造基地项目一期</w:t>
      </w:r>
      <w:r>
        <w:rPr>
          <w:rFonts w:hint="default" w:ascii="Times New Roman" w:hAnsi="Times New Roman" w:eastAsia="宋体" w:cs="Times New Roman"/>
          <w:b w:val="0"/>
          <w:bCs w:val="0"/>
          <w:color w:val="auto"/>
          <w:sz w:val="24"/>
          <w:szCs w:val="24"/>
          <w:lang w:val="en-US" w:eastAsia="zh-CN"/>
        </w:rPr>
        <w:t>环境影响登记表</w:t>
      </w:r>
      <w:r>
        <w:rPr>
          <w:rFonts w:hint="default" w:ascii="Times New Roman" w:hAnsi="Times New Roman" w:eastAsia="宋体" w:cs="Times New Roman"/>
          <w:color w:val="auto"/>
          <w:sz w:val="24"/>
          <w:szCs w:val="24"/>
          <w:lang w:val="en-US" w:eastAsia="zh-CN"/>
        </w:rPr>
        <w:t>》</w:t>
      </w:r>
      <w:r>
        <w:rPr>
          <w:rFonts w:hint="eastAsia" w:ascii="Times New Roman" w:hAnsi="Times New Roman" w:eastAsia="宋体" w:cs="Times New Roman"/>
          <w:color w:val="auto"/>
          <w:sz w:val="24"/>
          <w:szCs w:val="24"/>
          <w:lang w:val="en-US" w:eastAsia="zh-CN"/>
        </w:rPr>
        <w:t>。</w:t>
      </w:r>
      <w:r>
        <w:rPr>
          <w:rFonts w:hint="default" w:ascii="Times New Roman" w:hAnsi="Times New Roman" w:eastAsia="宋体" w:cs="Times New Roman"/>
          <w:color w:val="auto"/>
          <w:sz w:val="24"/>
          <w:szCs w:val="24"/>
          <w:lang w:val="en-US" w:eastAsia="zh-CN"/>
        </w:rPr>
        <w:t>2025年4月27日，绍兴市生态环境局以“诸环建备〔2025〕6号”出具了《诸暨市“区域环评+环境标准”改革建设项目环境影响登记表备案通知书》。</w:t>
      </w:r>
    </w:p>
    <w:p w14:paraId="7A6F46E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项目于2025年5月开工，2025年8月完工。2025年4月29日，进行排污许可登记填报。登记编号为91330681MADRCFCLXD001W。</w:t>
      </w:r>
    </w:p>
    <w:p w14:paraId="1E64B9AF">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default"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1.3投资情况</w:t>
      </w:r>
    </w:p>
    <w:p w14:paraId="00C4C28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项目实际总投资2000万元，环境保护投资78万元，占比3.9%。</w:t>
      </w:r>
    </w:p>
    <w:p w14:paraId="068B77EB">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1.4验收范围</w:t>
      </w:r>
    </w:p>
    <w:p w14:paraId="38E5329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本次验收为项目整体验收。</w:t>
      </w:r>
    </w:p>
    <w:p w14:paraId="726E82BE">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2工程变动情况</w:t>
      </w:r>
    </w:p>
    <w:p w14:paraId="199A03F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项目在实际建设中，根据现场勘查结果，《污染影响类建设项目重大变动清单(试行)》判断，</w:t>
      </w:r>
      <w:r>
        <w:rPr>
          <w:rFonts w:hint="eastAsia" w:ascii="宋体" w:hAnsi="宋体" w:eastAsia="宋体" w:cs="宋体"/>
          <w:color w:val="auto"/>
          <w:kern w:val="0"/>
          <w:sz w:val="24"/>
          <w:szCs w:val="24"/>
          <w:lang w:val="en-US" w:eastAsia="zh-CN" w:bidi="ar"/>
        </w:rPr>
        <w:t>项目建设</w:t>
      </w:r>
      <w:r>
        <w:rPr>
          <w:rFonts w:hint="eastAsia" w:ascii="宋体" w:hAnsi="宋体" w:eastAsia="宋体" w:cs="宋体"/>
          <w:color w:val="auto"/>
          <w:kern w:val="0"/>
          <w:sz w:val="24"/>
          <w:lang w:val="en-US" w:eastAsia="zh-CN" w:bidi="ar"/>
        </w:rPr>
        <w:t>实际产品</w:t>
      </w:r>
      <w:r>
        <w:rPr>
          <w:rFonts w:hint="eastAsia" w:ascii="宋体" w:hAnsi="宋体" w:eastAsia="宋体" w:cs="宋体"/>
          <w:color w:val="auto"/>
          <w:kern w:val="0"/>
          <w:sz w:val="24"/>
          <w:szCs w:val="24"/>
          <w:highlight w:val="none"/>
          <w:vertAlign w:val="baseline"/>
          <w:lang w:val="en-US" w:eastAsia="zh-CN" w:bidi="ar"/>
        </w:rPr>
        <w:t>工艺及主要原辅料与环评基本一致，新增原辅材料不涉及产生新污染物</w:t>
      </w:r>
      <w:r>
        <w:rPr>
          <w:rFonts w:hint="eastAsia" w:ascii="宋体" w:hAnsi="宋体" w:eastAsia="宋体" w:cs="宋体"/>
          <w:color w:val="auto"/>
          <w:kern w:val="0"/>
          <w:sz w:val="24"/>
          <w:szCs w:val="24"/>
          <w:lang w:val="en-US" w:eastAsia="zh-CN" w:bidi="ar"/>
        </w:rPr>
        <w:t>，</w:t>
      </w:r>
      <w:r>
        <w:rPr>
          <w:rFonts w:hint="eastAsia" w:ascii="Times New Roman" w:hAnsi="Times New Roman" w:eastAsia="宋体" w:cs="Times New Roman"/>
          <w:color w:val="auto"/>
          <w:sz w:val="24"/>
          <w:szCs w:val="24"/>
          <w:highlight w:val="none"/>
          <w:lang w:val="en-US" w:eastAsia="zh-CN"/>
        </w:rPr>
        <w:t>不属于重大变动。</w:t>
      </w:r>
    </w:p>
    <w:p w14:paraId="341225F3">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3环境保护设施建设情况</w:t>
      </w:r>
    </w:p>
    <w:p w14:paraId="43B92706">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3.1废水</w:t>
      </w:r>
    </w:p>
    <w:p w14:paraId="7893AC6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项目废水主要为生活污水、实验室清洗用水、纯水制备产生的浓水、地面的清洁用水。项目污水均可纳入城市截污管网，排入诸暨市海东水处理有限公司处理。项目运营期间产生的废水经处理后满足诸暨市海东水处理有限公司纳管标准要求。经诸暨市海东水处理有限公司集中处理后达《城镇污水处理厂污染物排放标准》（GB18918－2002）一级A标准后外排。</w:t>
      </w:r>
    </w:p>
    <w:p w14:paraId="7B7F0524">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3.2废气</w:t>
      </w:r>
    </w:p>
    <w:p w14:paraId="57BEB60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eastAsia="宋体"/>
          <w:sz w:val="24"/>
          <w:szCs w:val="24"/>
          <w:lang w:eastAsia="zh-CN"/>
        </w:rPr>
      </w:pPr>
      <w:r>
        <w:rPr>
          <w:rFonts w:hint="eastAsia" w:ascii="Times New Roman" w:hAnsi="Times New Roman" w:eastAsia="宋体" w:cs="Times New Roman"/>
          <w:color w:val="auto"/>
          <w:sz w:val="24"/>
          <w:szCs w:val="24"/>
          <w:highlight w:val="none"/>
          <w:lang w:val="en-US" w:eastAsia="zh-CN"/>
        </w:rPr>
        <w:t>本项目产生的废气主要为使用30%乙酸溶液、75%乙醇消毒挥发产生有机废气以及微生物废气。有机废气收集后通过一级活性炭废气处理设施处理后排放，项目研发实验室生物废气经安全柜高效过滤器系统过滤后排放，对周围大气环境影响较小。</w:t>
      </w:r>
    </w:p>
    <w:p w14:paraId="6E59AACA">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3.3噪声</w:t>
      </w:r>
    </w:p>
    <w:p w14:paraId="6D100BF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imes New Roman" w:hAnsi="Times New Roman" w:eastAsia="宋体" w:cs="Times New Roman"/>
          <w:color w:val="auto"/>
          <w:sz w:val="24"/>
          <w:szCs w:val="24"/>
          <w:highlight w:val="none"/>
          <w:lang w:val="en-US" w:eastAsia="zh-CN"/>
        </w:rPr>
      </w:pPr>
      <w:r>
        <w:rPr>
          <w:rFonts w:hint="eastAsia" w:ascii="宋体" w:hAnsi="宋体" w:eastAsia="宋体" w:cs="宋体"/>
          <w:color w:val="auto"/>
          <w:sz w:val="24"/>
          <w:szCs w:val="24"/>
          <w:highlight w:val="none"/>
          <w:lang w:val="en-US" w:eastAsia="zh-CN"/>
        </w:rPr>
        <w:t>项目主要噪声源均来自室内空调净化系统、生物安全柜、纯水系统等设备噪声。采取安装减震减噪及隔声等措施防治，并对设备进行日常保养，确保设备正常运转，以减少设备噪声的影响。</w:t>
      </w:r>
    </w:p>
    <w:p w14:paraId="016CE8D9">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3.4固体废物</w:t>
      </w:r>
    </w:p>
    <w:p w14:paraId="04B9421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本项目产生的危险废物主要为废试剂包装瓶、实验废液、废弃一次性用品、废品、空调净化系统过滤废吸附棉、废活性炭，分类收集后放置在危废贮存间，定期委托有资质单位进行处置。一般固废主要为废纯化柱、废普通包装边角料，</w:t>
      </w:r>
      <w:r>
        <w:rPr>
          <w:rFonts w:hint="default" w:ascii="宋体" w:hAnsi="宋体" w:eastAsia="宋体" w:cs="宋体"/>
          <w:color w:val="auto"/>
          <w:sz w:val="24"/>
          <w:szCs w:val="24"/>
          <w:highlight w:val="none"/>
          <w:lang w:val="en-US" w:eastAsia="zh-CN"/>
        </w:rPr>
        <w:t>经收集暂存一般固废库中，定期</w:t>
      </w:r>
      <w:r>
        <w:rPr>
          <w:rFonts w:hint="eastAsia" w:ascii="宋体" w:hAnsi="宋体" w:eastAsia="宋体" w:cs="宋体"/>
          <w:color w:val="auto"/>
          <w:sz w:val="24"/>
          <w:szCs w:val="24"/>
          <w:highlight w:val="none"/>
          <w:lang w:val="en-US" w:eastAsia="zh-CN"/>
        </w:rPr>
        <w:t>外售。项目产生的生活垃圾由环卫部门统一收集处理，对环境产生影响较小。</w:t>
      </w:r>
    </w:p>
    <w:p w14:paraId="3F0FF528">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3.5 其他</w:t>
      </w:r>
    </w:p>
    <w:p w14:paraId="66E116F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000000"/>
          <w:kern w:val="0"/>
          <w:sz w:val="24"/>
          <w:szCs w:val="24"/>
          <w:lang w:val="en-US" w:eastAsia="zh-CN" w:bidi="ar"/>
        </w:rPr>
      </w:pPr>
      <w:r>
        <w:rPr>
          <w:rFonts w:hint="eastAsia" w:ascii="Times New Roman" w:hAnsi="Times New Roman" w:eastAsia="宋体" w:cs="Times New Roman"/>
          <w:color w:val="000000"/>
          <w:kern w:val="0"/>
          <w:sz w:val="24"/>
          <w:szCs w:val="24"/>
          <w:lang w:val="en-US" w:eastAsia="zh-CN" w:bidi="ar"/>
        </w:rPr>
        <w:t>(1)环境风险防范设施</w:t>
      </w:r>
    </w:p>
    <w:p w14:paraId="15572D7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000000"/>
          <w:kern w:val="0"/>
          <w:sz w:val="24"/>
          <w:szCs w:val="24"/>
          <w:lang w:val="en-US" w:eastAsia="zh-CN" w:bidi="ar"/>
        </w:rPr>
      </w:pPr>
      <w:r>
        <w:rPr>
          <w:rFonts w:hint="eastAsia" w:ascii="Times New Roman" w:hAnsi="Times New Roman" w:eastAsia="宋体" w:cs="Times New Roman"/>
          <w:color w:val="auto"/>
          <w:sz w:val="24"/>
          <w:szCs w:val="24"/>
          <w:lang w:val="en-US" w:eastAsia="zh-CN"/>
        </w:rPr>
        <w:t>绍兴杰毅医疗器械有限公司新一代分子诊断智造基地项目一期</w:t>
      </w:r>
      <w:r>
        <w:rPr>
          <w:rFonts w:hint="eastAsia" w:ascii="Times New Roman" w:hAnsi="Times New Roman" w:eastAsia="宋体" w:cs="Times New Roman"/>
          <w:color w:val="000000"/>
          <w:kern w:val="0"/>
          <w:sz w:val="24"/>
          <w:szCs w:val="24"/>
          <w:lang w:val="en-US" w:eastAsia="zh-CN" w:bidi="ar"/>
        </w:rPr>
        <w:t>己编制突发环境事件应急预案，</w:t>
      </w:r>
      <w:r>
        <w:rPr>
          <w:rFonts w:hint="default" w:ascii="Times New Roman" w:hAnsi="Times New Roman" w:eastAsia="宋体" w:cs="Times New Roman"/>
          <w:color w:val="auto"/>
          <w:sz w:val="24"/>
          <w:szCs w:val="24"/>
          <w:highlight w:val="none"/>
          <w:lang w:val="en-US" w:eastAsia="zh-CN"/>
        </w:rPr>
        <w:t>并于</w:t>
      </w:r>
      <w:r>
        <w:rPr>
          <w:rFonts w:hint="eastAsia" w:ascii="Times New Roman" w:hAnsi="Times New Roman" w:cs="Times New Roman"/>
          <w:color w:val="auto"/>
          <w:sz w:val="24"/>
          <w:szCs w:val="24"/>
          <w:highlight w:val="none"/>
          <w:lang w:val="en-US" w:eastAsia="zh-CN"/>
        </w:rPr>
        <w:t>2025</w:t>
      </w:r>
      <w:r>
        <w:rPr>
          <w:rFonts w:hint="default" w:ascii="Times New Roman" w:hAnsi="Times New Roman" w:eastAsia="宋体" w:cs="Times New Roman"/>
          <w:color w:val="auto"/>
          <w:sz w:val="24"/>
          <w:szCs w:val="24"/>
          <w:highlight w:val="none"/>
          <w:lang w:val="en-US" w:eastAsia="zh-CN"/>
        </w:rPr>
        <w:t>年</w:t>
      </w:r>
      <w:r>
        <w:rPr>
          <w:rFonts w:hint="eastAsia" w:ascii="Times New Roman" w:hAnsi="Times New Roman" w:cs="Times New Roman"/>
          <w:color w:val="auto"/>
          <w:sz w:val="24"/>
          <w:szCs w:val="24"/>
          <w:highlight w:val="none"/>
          <w:lang w:val="en-US" w:eastAsia="zh-CN"/>
        </w:rPr>
        <w:t>8</w:t>
      </w:r>
      <w:r>
        <w:rPr>
          <w:rFonts w:hint="default" w:ascii="Times New Roman" w:hAnsi="Times New Roman" w:eastAsia="宋体" w:cs="Times New Roman"/>
          <w:color w:val="auto"/>
          <w:sz w:val="24"/>
          <w:szCs w:val="24"/>
          <w:highlight w:val="none"/>
          <w:lang w:val="en-US" w:eastAsia="zh-CN"/>
        </w:rPr>
        <w:t>月</w:t>
      </w:r>
      <w:r>
        <w:rPr>
          <w:rFonts w:hint="eastAsia" w:ascii="Times New Roman" w:hAnsi="Times New Roman" w:cs="Times New Roman"/>
          <w:color w:val="auto"/>
          <w:sz w:val="24"/>
          <w:szCs w:val="24"/>
          <w:highlight w:val="none"/>
          <w:lang w:val="en-US" w:eastAsia="zh-CN"/>
        </w:rPr>
        <w:t>26</w:t>
      </w:r>
      <w:r>
        <w:rPr>
          <w:rFonts w:hint="default" w:ascii="Times New Roman" w:hAnsi="Times New Roman" w:eastAsia="宋体" w:cs="Times New Roman"/>
          <w:color w:val="auto"/>
          <w:sz w:val="24"/>
          <w:szCs w:val="24"/>
          <w:highlight w:val="none"/>
          <w:lang w:val="en-US" w:eastAsia="zh-CN"/>
        </w:rPr>
        <w:t>日在</w:t>
      </w:r>
      <w:r>
        <w:rPr>
          <w:rFonts w:hint="eastAsia" w:ascii="Times New Roman" w:hAnsi="Times New Roman" w:eastAsia="宋体" w:cs="Times New Roman"/>
          <w:color w:val="auto"/>
          <w:sz w:val="24"/>
          <w:szCs w:val="24"/>
          <w:highlight w:val="none"/>
          <w:lang w:val="en-US" w:eastAsia="zh-CN"/>
        </w:rPr>
        <w:t>绍兴</w:t>
      </w:r>
      <w:r>
        <w:rPr>
          <w:rFonts w:hint="default" w:ascii="Times New Roman" w:hAnsi="Times New Roman" w:eastAsia="宋体" w:cs="Times New Roman"/>
          <w:color w:val="auto"/>
          <w:sz w:val="24"/>
          <w:szCs w:val="24"/>
          <w:highlight w:val="none"/>
          <w:lang w:val="en-US" w:eastAsia="zh-CN"/>
        </w:rPr>
        <w:t>市生态环境局</w:t>
      </w:r>
      <w:r>
        <w:rPr>
          <w:rFonts w:hint="eastAsia" w:ascii="Times New Roman" w:hAnsi="Times New Roman" w:cs="Times New Roman"/>
          <w:color w:val="auto"/>
          <w:sz w:val="24"/>
          <w:szCs w:val="24"/>
          <w:highlight w:val="none"/>
          <w:lang w:val="en-US" w:eastAsia="zh-CN"/>
        </w:rPr>
        <w:t>诸暨分局</w:t>
      </w:r>
      <w:r>
        <w:rPr>
          <w:rFonts w:hint="default" w:ascii="Times New Roman" w:hAnsi="Times New Roman" w:eastAsia="宋体" w:cs="Times New Roman"/>
          <w:color w:val="auto"/>
          <w:sz w:val="24"/>
          <w:szCs w:val="24"/>
          <w:highlight w:val="none"/>
          <w:lang w:val="en-US" w:eastAsia="zh-CN"/>
        </w:rPr>
        <w:t>完成备案，备案文号</w:t>
      </w:r>
      <w:r>
        <w:rPr>
          <w:rFonts w:hint="eastAsia" w:ascii="Times New Roman" w:hAnsi="Times New Roman" w:cs="Times New Roman"/>
          <w:color w:val="auto"/>
          <w:sz w:val="24"/>
          <w:szCs w:val="24"/>
          <w:highlight w:val="none"/>
          <w:lang w:val="en-US" w:eastAsia="zh-CN"/>
        </w:rPr>
        <w:t>330681-2025-070-L</w:t>
      </w:r>
      <w:r>
        <w:rPr>
          <w:rFonts w:hint="eastAsia" w:ascii="Times New Roman" w:hAnsi="Times New Roman" w:eastAsia="宋体" w:cs="Times New Roman"/>
          <w:color w:val="000000"/>
          <w:kern w:val="0"/>
          <w:sz w:val="24"/>
          <w:szCs w:val="24"/>
          <w:lang w:val="en-US" w:eastAsia="zh-CN" w:bidi="ar"/>
        </w:rPr>
        <w:t>。企业应针对可能发生的环境突发事故情景，落实承担应急职责的相关人员，定期开展相关内容的培训，并开展应急演练。</w:t>
      </w:r>
    </w:p>
    <w:p w14:paraId="2FD856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000000"/>
          <w:kern w:val="0"/>
          <w:sz w:val="24"/>
          <w:szCs w:val="24"/>
          <w:lang w:val="en-US" w:eastAsia="zh-CN" w:bidi="ar"/>
        </w:rPr>
      </w:pPr>
      <w:r>
        <w:rPr>
          <w:rFonts w:hint="eastAsia" w:ascii="Times New Roman" w:hAnsi="Times New Roman" w:eastAsia="宋体" w:cs="Times New Roman"/>
          <w:color w:val="000000"/>
          <w:kern w:val="0"/>
          <w:sz w:val="24"/>
          <w:szCs w:val="24"/>
          <w:lang w:val="en-US" w:eastAsia="zh-CN" w:bidi="ar"/>
        </w:rPr>
        <w:t>(2)其他</w:t>
      </w:r>
    </w:p>
    <w:p w14:paraId="6A01344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000000"/>
          <w:kern w:val="0"/>
          <w:sz w:val="24"/>
          <w:szCs w:val="24"/>
          <w:lang w:val="en-US" w:eastAsia="zh-CN" w:bidi="ar"/>
        </w:rPr>
      </w:pPr>
      <w:r>
        <w:rPr>
          <w:rFonts w:hint="eastAsia" w:ascii="Times New Roman" w:hAnsi="Times New Roman" w:eastAsia="宋体" w:cs="Times New Roman"/>
          <w:color w:val="000000"/>
          <w:kern w:val="0"/>
          <w:sz w:val="24"/>
          <w:szCs w:val="24"/>
          <w:lang w:val="en-US" w:eastAsia="zh-CN" w:bidi="ar"/>
        </w:rPr>
        <w:t>企业已配备了环保专职人员，专职负责对公司环保设施的运行和维护，已制定了各类环保管理制度。</w:t>
      </w:r>
    </w:p>
    <w:p w14:paraId="4D2A8122">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4环境保护设施调试效果</w:t>
      </w:r>
    </w:p>
    <w:p w14:paraId="6C462A9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000000"/>
          <w:kern w:val="0"/>
          <w:sz w:val="24"/>
          <w:szCs w:val="24"/>
          <w:lang w:val="en-US" w:eastAsia="zh-CN" w:bidi="ar"/>
        </w:rPr>
      </w:pPr>
      <w:r>
        <w:rPr>
          <w:rFonts w:hint="default" w:ascii="Times New Roman" w:hAnsi="Times New Roman" w:eastAsia="宋体" w:cs="Times New Roman"/>
          <w:color w:val="000000"/>
          <w:kern w:val="0"/>
          <w:sz w:val="24"/>
          <w:szCs w:val="24"/>
          <w:lang w:val="en-US" w:eastAsia="zh-CN" w:bidi="ar"/>
        </w:rPr>
        <w:t>2026年3月16日-17日</w:t>
      </w:r>
      <w:r>
        <w:rPr>
          <w:rFonts w:hint="eastAsia" w:ascii="Times New Roman" w:hAnsi="Times New Roman" w:eastAsia="宋体" w:cs="Times New Roman"/>
          <w:color w:val="000000"/>
          <w:kern w:val="0"/>
          <w:sz w:val="24"/>
          <w:szCs w:val="24"/>
          <w:lang w:val="en-US" w:eastAsia="zh-CN" w:bidi="ar"/>
        </w:rPr>
        <w:t>，浙江杭邦检测技术有限公司对该项目进行了环境保护验收检测。验收检测期间，该项目生产工况正常，各类环境保护设施的监测结果如下:</w:t>
      </w:r>
    </w:p>
    <w:p w14:paraId="5AE2BC7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000000"/>
          <w:kern w:val="0"/>
          <w:sz w:val="24"/>
          <w:szCs w:val="24"/>
          <w:lang w:val="en-US" w:eastAsia="zh-CN" w:bidi="ar"/>
        </w:rPr>
      </w:pPr>
      <w:r>
        <w:rPr>
          <w:rFonts w:hint="eastAsia" w:ascii="Times New Roman" w:hAnsi="Times New Roman" w:eastAsia="宋体" w:cs="Times New Roman"/>
          <w:color w:val="000000"/>
          <w:kern w:val="0"/>
          <w:sz w:val="24"/>
          <w:szCs w:val="24"/>
          <w:lang w:val="en-US" w:eastAsia="zh-CN" w:bidi="ar"/>
        </w:rPr>
        <w:t>(1)污染物排放情况</w:t>
      </w:r>
    </w:p>
    <w:p w14:paraId="5240044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000000"/>
          <w:kern w:val="0"/>
          <w:sz w:val="24"/>
          <w:szCs w:val="24"/>
          <w:lang w:val="en-US" w:eastAsia="zh-CN" w:bidi="ar"/>
        </w:rPr>
      </w:pPr>
      <w:r>
        <w:rPr>
          <w:rFonts w:hint="eastAsia" w:ascii="Times New Roman" w:hAnsi="Times New Roman" w:eastAsia="宋体" w:cs="Times New Roman"/>
          <w:color w:val="000000"/>
          <w:kern w:val="0"/>
          <w:sz w:val="24"/>
          <w:szCs w:val="24"/>
          <w:lang w:val="en-US" w:eastAsia="zh-CN" w:bidi="ar"/>
        </w:rPr>
        <w:t>①废气</w:t>
      </w:r>
    </w:p>
    <w:p w14:paraId="3CCA2B1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000000"/>
          <w:kern w:val="0"/>
          <w:sz w:val="24"/>
          <w:szCs w:val="24"/>
          <w:lang w:val="en-US" w:eastAsia="zh-CN" w:bidi="ar"/>
        </w:rPr>
      </w:pPr>
      <w:r>
        <w:rPr>
          <w:rFonts w:hint="default" w:ascii="Times New Roman" w:hAnsi="Times New Roman" w:eastAsia="宋体" w:cs="Times New Roman"/>
          <w:color w:val="000000"/>
          <w:kern w:val="0"/>
          <w:sz w:val="24"/>
          <w:szCs w:val="24"/>
          <w:lang w:val="en-US" w:eastAsia="zh-CN" w:bidi="ar"/>
        </w:rPr>
        <w:t>废气:验收监测期间，无组织非甲烷总烃监测浓度满足</w:t>
      </w:r>
      <w:r>
        <w:rPr>
          <w:rFonts w:hint="default" w:ascii="Times New Roman" w:hAnsi="Times New Roman" w:eastAsia="宋体" w:cs="Times New Roman"/>
          <w:color w:val="auto"/>
          <w:sz w:val="24"/>
          <w:szCs w:val="24"/>
          <w:highlight w:val="none"/>
        </w:rPr>
        <w:t>《挥发性有机物无组织排放控制标准》（</w:t>
      </w:r>
      <w:r>
        <w:rPr>
          <w:rFonts w:hint="default" w:ascii="Times New Roman" w:hAnsi="Times New Roman" w:cs="Times New Roman"/>
          <w:color w:val="auto"/>
          <w:sz w:val="24"/>
          <w:szCs w:val="24"/>
          <w:highlight w:val="none"/>
          <w:lang w:val="en-US" w:eastAsia="zh-CN"/>
        </w:rPr>
        <w:t>GB38722-2019</w:t>
      </w:r>
      <w:r>
        <w:rPr>
          <w:rFonts w:hint="default" w:ascii="Times New Roman" w:hAnsi="Times New Roman" w:eastAsia="宋体" w:cs="Times New Roman"/>
          <w:color w:val="auto"/>
          <w:sz w:val="24"/>
          <w:szCs w:val="24"/>
          <w:highlight w:val="none"/>
        </w:rPr>
        <w:t>）</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kern w:val="0"/>
          <w:sz w:val="24"/>
          <w:szCs w:val="24"/>
          <w:highlight w:val="none"/>
          <w:lang w:val="en-US" w:eastAsia="zh-CN" w:bidi="ar-SA"/>
        </w:rPr>
        <w:t>《大气污染物综合排放标准》(GB16297-1996)</w:t>
      </w:r>
      <w:r>
        <w:rPr>
          <w:rFonts w:hint="default" w:ascii="Times New Roman" w:hAnsi="Times New Roman" w:eastAsia="宋体" w:cs="Times New Roman"/>
          <w:color w:val="000000"/>
          <w:kern w:val="0"/>
          <w:sz w:val="24"/>
          <w:szCs w:val="24"/>
          <w:lang w:val="en-US" w:eastAsia="zh-CN" w:bidi="ar"/>
        </w:rPr>
        <w:t>。</w:t>
      </w:r>
    </w:p>
    <w:p w14:paraId="10D686F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000000"/>
          <w:kern w:val="0"/>
          <w:sz w:val="24"/>
          <w:szCs w:val="24"/>
          <w:lang w:val="en-US" w:eastAsia="zh-CN" w:bidi="ar"/>
        </w:rPr>
      </w:pPr>
      <w:r>
        <w:rPr>
          <w:rFonts w:hint="eastAsia" w:ascii="Times New Roman" w:hAnsi="Times New Roman" w:eastAsia="宋体" w:cs="Times New Roman"/>
          <w:color w:val="000000"/>
          <w:kern w:val="0"/>
          <w:sz w:val="24"/>
          <w:szCs w:val="24"/>
          <w:lang w:val="en-US" w:eastAsia="zh-CN" w:bidi="ar"/>
        </w:rPr>
        <w:t>②噪声</w:t>
      </w:r>
    </w:p>
    <w:p w14:paraId="483D8B6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000000"/>
          <w:kern w:val="0"/>
          <w:sz w:val="24"/>
          <w:szCs w:val="24"/>
          <w:lang w:val="en-US" w:eastAsia="zh-CN" w:bidi="ar"/>
        </w:rPr>
      </w:pPr>
      <w:r>
        <w:rPr>
          <w:rFonts w:hint="eastAsia" w:ascii="Times New Roman" w:hAnsi="Times New Roman" w:eastAsia="宋体" w:cs="Times New Roman"/>
          <w:color w:val="000000"/>
          <w:kern w:val="0"/>
          <w:sz w:val="24"/>
          <w:szCs w:val="24"/>
          <w:lang w:val="en-US" w:eastAsia="zh-CN" w:bidi="ar"/>
        </w:rPr>
        <w:t>厂界执行《工业企业厂界环境噪声排放标准》(GB12348-2008)中3类标准限值。</w:t>
      </w:r>
    </w:p>
    <w:p w14:paraId="70F4AE9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000000"/>
          <w:kern w:val="0"/>
          <w:sz w:val="24"/>
          <w:szCs w:val="24"/>
          <w:lang w:val="en-US" w:eastAsia="zh-CN" w:bidi="ar"/>
        </w:rPr>
      </w:pPr>
      <w:r>
        <w:rPr>
          <w:rFonts w:hint="eastAsia" w:ascii="Times New Roman" w:hAnsi="Times New Roman" w:eastAsia="宋体" w:cs="Times New Roman"/>
          <w:color w:val="000000"/>
          <w:kern w:val="0"/>
          <w:sz w:val="24"/>
          <w:szCs w:val="24"/>
          <w:lang w:val="en-US" w:eastAsia="zh-CN" w:bidi="ar"/>
        </w:rPr>
        <w:t>③固体废物</w:t>
      </w:r>
    </w:p>
    <w:p w14:paraId="2981124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000000"/>
          <w:kern w:val="0"/>
          <w:sz w:val="24"/>
          <w:szCs w:val="24"/>
          <w:lang w:val="en-US" w:eastAsia="zh-CN" w:bidi="ar"/>
        </w:rPr>
      </w:pPr>
      <w:r>
        <w:rPr>
          <w:rFonts w:hint="eastAsia" w:ascii="Times New Roman" w:hAnsi="Times New Roman" w:eastAsia="宋体" w:cs="Times New Roman"/>
          <w:color w:val="000000"/>
          <w:kern w:val="0"/>
          <w:sz w:val="24"/>
          <w:szCs w:val="24"/>
          <w:lang w:val="en-US" w:eastAsia="zh-CN" w:bidi="ar"/>
        </w:rPr>
        <w:t>工作人员生活垃圾委托当地环卫部门清运;危险废物分类收集后放置在危废贮存间，定期委托有资质单位进行处置。</w:t>
      </w:r>
    </w:p>
    <w:p w14:paraId="3336EC2E">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5工程建设对环境的影响</w:t>
      </w:r>
    </w:p>
    <w:p w14:paraId="3644C08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000000"/>
          <w:kern w:val="0"/>
          <w:sz w:val="24"/>
          <w:szCs w:val="24"/>
          <w:lang w:val="en-US" w:eastAsia="zh-CN" w:bidi="ar"/>
        </w:rPr>
      </w:pPr>
      <w:r>
        <w:rPr>
          <w:rFonts w:hint="eastAsia" w:ascii="Times New Roman" w:hAnsi="Times New Roman" w:eastAsia="宋体" w:cs="Times New Roman"/>
          <w:color w:val="000000"/>
          <w:kern w:val="0"/>
          <w:sz w:val="24"/>
          <w:szCs w:val="24"/>
          <w:lang w:val="en-US" w:eastAsia="zh-CN" w:bidi="ar"/>
        </w:rPr>
        <w:t>根据验收监测报告结论，项目废气经相应处理后各污染物排放均符合相关标准限值要求，厂界噪声达标，固废做到资源化和无害化处理，项目建设对周边环境的影响在环评预测范围之内。</w:t>
      </w:r>
    </w:p>
    <w:p w14:paraId="33337DD3">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6验收结论</w:t>
      </w:r>
    </w:p>
    <w:p w14:paraId="68FAFC9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000000"/>
          <w:kern w:val="0"/>
          <w:sz w:val="24"/>
          <w:szCs w:val="24"/>
          <w:lang w:val="en-US" w:eastAsia="zh-CN" w:bidi="ar"/>
        </w:rPr>
      </w:pPr>
      <w:r>
        <w:rPr>
          <w:rFonts w:hint="eastAsia" w:ascii="Times New Roman" w:hAnsi="Times New Roman" w:eastAsia="宋体" w:cs="Times New Roman"/>
          <w:color w:val="000000"/>
          <w:kern w:val="0"/>
          <w:sz w:val="24"/>
          <w:szCs w:val="24"/>
          <w:lang w:val="en-US" w:eastAsia="zh-CN" w:bidi="ar"/>
        </w:rPr>
        <w:t>经现场检查及审核验收监测调查报告，本项目按照国家有关环境保护的法律法规进行了环境影响评价，履行了建设项目环境影响审批手续，批建基本相符。项目按环评及审批文件要求基本配套治理措施，建立了环保管理制度:验收监测结果表明项目各污染物排放指标均符合相应标准，污染物排放总量控制在环评及批复要求的范围内，基本落实了“三同时”有关要求，没有《建设项目竣工环境保护验收暂行办法》《国环规环评(2017)4号》中所规定的验收不合格项，同意通过本项目竣工环境保护验收。</w:t>
      </w:r>
    </w:p>
    <w:p w14:paraId="0921A243">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7后续要求和建议</w:t>
      </w:r>
    </w:p>
    <w:p w14:paraId="51BA69F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000000"/>
          <w:kern w:val="0"/>
          <w:sz w:val="24"/>
          <w:szCs w:val="24"/>
          <w:lang w:val="en-US" w:eastAsia="zh-CN" w:bidi="ar"/>
        </w:rPr>
      </w:pPr>
      <w:r>
        <w:rPr>
          <w:rFonts w:hint="eastAsia" w:ascii="Times New Roman" w:hAnsi="Times New Roman" w:eastAsia="宋体" w:cs="Times New Roman"/>
          <w:color w:val="000000"/>
          <w:kern w:val="0"/>
          <w:sz w:val="24"/>
          <w:szCs w:val="24"/>
          <w:lang w:val="en-US" w:eastAsia="zh-CN" w:bidi="ar"/>
        </w:rPr>
        <w:t>(1)针对项目情况，建议建设单位严格项目各项环保设施检查工作，并接受地方生态环境主管部门的日常监督、检查工作。</w:t>
      </w:r>
    </w:p>
    <w:p w14:paraId="2E1BB11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000000"/>
          <w:kern w:val="0"/>
          <w:sz w:val="24"/>
          <w:szCs w:val="24"/>
          <w:lang w:val="en-US" w:eastAsia="zh-CN" w:bidi="ar"/>
        </w:rPr>
      </w:pPr>
      <w:r>
        <w:rPr>
          <w:rFonts w:hint="eastAsia" w:ascii="Times New Roman" w:hAnsi="Times New Roman" w:eastAsia="宋体" w:cs="Times New Roman"/>
          <w:color w:val="000000"/>
          <w:kern w:val="0"/>
          <w:sz w:val="24"/>
          <w:szCs w:val="24"/>
          <w:lang w:val="en-US" w:eastAsia="zh-CN" w:bidi="ar"/>
        </w:rPr>
        <w:t>(2)关注项目危险废物产生情况，合理合法合规处置危险废物。</w:t>
      </w:r>
    </w:p>
    <w:p w14:paraId="54B3586C">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8验收人员信息</w:t>
      </w:r>
    </w:p>
    <w:p w14:paraId="6728702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000000"/>
          <w:kern w:val="0"/>
          <w:sz w:val="24"/>
          <w:szCs w:val="24"/>
          <w:lang w:val="en-US" w:eastAsia="zh-CN" w:bidi="ar"/>
        </w:rPr>
      </w:pPr>
      <w:r>
        <w:rPr>
          <w:rFonts w:hint="eastAsia" w:ascii="Times New Roman" w:hAnsi="Times New Roman" w:eastAsia="宋体" w:cs="Times New Roman"/>
          <w:color w:val="000000"/>
          <w:kern w:val="0"/>
          <w:sz w:val="24"/>
          <w:szCs w:val="24"/>
          <w:lang w:val="en-US" w:eastAsia="zh-CN" w:bidi="ar"/>
        </w:rPr>
        <w:t>参会人员信息详见验收会议签到表。</w:t>
      </w:r>
    </w:p>
    <w:p w14:paraId="06042C5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000000"/>
          <w:kern w:val="0"/>
          <w:sz w:val="24"/>
          <w:szCs w:val="24"/>
          <w:lang w:val="en-US" w:eastAsia="zh-CN" w:bidi="ar"/>
        </w:rPr>
      </w:pPr>
    </w:p>
    <w:p w14:paraId="18D34DB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000000"/>
          <w:kern w:val="0"/>
          <w:sz w:val="24"/>
          <w:szCs w:val="24"/>
          <w:lang w:val="en-US" w:eastAsia="zh-CN" w:bidi="ar"/>
        </w:rPr>
      </w:pPr>
    </w:p>
    <w:p w14:paraId="683E2D7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000000"/>
          <w:kern w:val="0"/>
          <w:sz w:val="24"/>
          <w:szCs w:val="24"/>
          <w:lang w:val="en-US" w:eastAsia="zh-CN" w:bidi="ar"/>
        </w:rPr>
      </w:pPr>
    </w:p>
    <w:p w14:paraId="68A131D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000000"/>
          <w:kern w:val="0"/>
          <w:sz w:val="24"/>
          <w:szCs w:val="24"/>
          <w:lang w:val="en-US" w:eastAsia="zh-CN" w:bidi="ar"/>
        </w:rPr>
      </w:pPr>
    </w:p>
    <w:p w14:paraId="449E295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000000"/>
          <w:kern w:val="0"/>
          <w:sz w:val="24"/>
          <w:szCs w:val="24"/>
          <w:lang w:val="en-US" w:eastAsia="zh-CN" w:bidi="ar"/>
        </w:rPr>
      </w:pPr>
    </w:p>
    <w:p w14:paraId="0273DE0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000000"/>
          <w:kern w:val="0"/>
          <w:sz w:val="24"/>
          <w:szCs w:val="24"/>
          <w:lang w:val="en-US" w:eastAsia="zh-CN" w:bidi="ar"/>
        </w:rPr>
      </w:pPr>
    </w:p>
    <w:p w14:paraId="3C88808E">
      <w:pPr>
        <w:pStyle w:val="2"/>
        <w:keepNext w:val="0"/>
        <w:keepLines w:val="0"/>
        <w:pageBreakBefore w:val="0"/>
        <w:widowControl w:val="0"/>
        <w:kinsoku/>
        <w:wordWrap/>
        <w:overflowPunct/>
        <w:topLinePunct w:val="0"/>
        <w:autoSpaceDE/>
        <w:autoSpaceDN/>
        <w:bidi w:val="0"/>
        <w:adjustRightInd/>
        <w:snapToGrid/>
        <w:spacing w:after="0" w:line="360" w:lineRule="auto"/>
        <w:ind w:firstLine="480" w:firstLineChars="200"/>
        <w:jc w:val="right"/>
        <w:textAlignment w:val="auto"/>
        <w:rPr>
          <w:rFonts w:hint="default" w:ascii="Times New Roman" w:hAnsi="Times New Roman" w:eastAsia="宋体" w:cs="Times New Roman"/>
          <w:bCs/>
          <w:sz w:val="24"/>
          <w:lang w:val="en-US" w:eastAsia="zh-CN"/>
        </w:rPr>
      </w:pPr>
      <w:r>
        <w:rPr>
          <w:rFonts w:hint="eastAsia" w:ascii="Times New Roman" w:hAnsi="Times New Roman" w:eastAsia="宋体" w:cs="Times New Roman"/>
          <w:color w:val="auto"/>
          <w:sz w:val="24"/>
          <w:szCs w:val="24"/>
          <w:lang w:val="en-US" w:eastAsia="zh-CN"/>
        </w:rPr>
        <w:t>绍兴杰毅医疗器械有限公司</w:t>
      </w:r>
    </w:p>
    <w:p w14:paraId="1A2A676F">
      <w:pPr>
        <w:widowControl/>
        <w:spacing w:line="360" w:lineRule="auto"/>
        <w:jc w:val="right"/>
        <w:rPr>
          <w:rFonts w:hint="default" w:ascii="Times New Roman" w:hAnsi="Times New Roman" w:cs="Times New Roman"/>
          <w:color w:val="000000" w:themeColor="text1"/>
          <w:sz w:val="24"/>
          <w14:textFill>
            <w14:solidFill>
              <w14:schemeClr w14:val="tx1"/>
            </w14:solidFill>
          </w14:textFill>
        </w:rPr>
      </w:pPr>
      <w:r>
        <w:rPr>
          <w:rFonts w:hint="default" w:ascii="Times New Roman" w:hAnsi="Times New Roman" w:cs="Times New Roman"/>
          <w:color w:val="000000" w:themeColor="text1"/>
          <w:kern w:val="0"/>
          <w:sz w:val="24"/>
          <w:lang w:bidi="ar"/>
          <w14:textFill>
            <w14:solidFill>
              <w14:schemeClr w14:val="tx1"/>
            </w14:solidFill>
          </w14:textFill>
        </w:rPr>
        <w:t>202</w:t>
      </w:r>
      <w:r>
        <w:rPr>
          <w:rFonts w:hint="eastAsia" w:ascii="Times New Roman" w:hAnsi="Times New Roman" w:cs="Times New Roman"/>
          <w:color w:val="000000" w:themeColor="text1"/>
          <w:kern w:val="0"/>
          <w:sz w:val="24"/>
          <w:lang w:val="en-US" w:eastAsia="zh-CN" w:bidi="ar"/>
          <w14:textFill>
            <w14:solidFill>
              <w14:schemeClr w14:val="tx1"/>
            </w14:solidFill>
          </w14:textFill>
        </w:rPr>
        <w:t>6</w:t>
      </w:r>
      <w:r>
        <w:rPr>
          <w:rFonts w:hint="default" w:ascii="Times New Roman" w:hAnsi="Times New Roman" w:cs="Times New Roman"/>
          <w:color w:val="000000" w:themeColor="text1"/>
          <w:kern w:val="0"/>
          <w:sz w:val="24"/>
          <w:lang w:bidi="ar"/>
          <w14:textFill>
            <w14:solidFill>
              <w14:schemeClr w14:val="tx1"/>
            </w14:solidFill>
          </w14:textFill>
        </w:rPr>
        <w:t>年</w:t>
      </w:r>
      <w:r>
        <w:rPr>
          <w:rFonts w:hint="eastAsia" w:ascii="Times New Roman" w:hAnsi="Times New Roman" w:cs="Times New Roman"/>
          <w:color w:val="000000" w:themeColor="text1"/>
          <w:kern w:val="0"/>
          <w:sz w:val="24"/>
          <w:lang w:val="en-US" w:eastAsia="zh-CN" w:bidi="ar"/>
          <w14:textFill>
            <w14:solidFill>
              <w14:schemeClr w14:val="tx1"/>
            </w14:solidFill>
          </w14:textFill>
        </w:rPr>
        <w:t>6</w:t>
      </w:r>
      <w:r>
        <w:rPr>
          <w:rFonts w:hint="default" w:ascii="Times New Roman" w:hAnsi="Times New Roman" w:cs="Times New Roman"/>
          <w:color w:val="000000" w:themeColor="text1"/>
          <w:kern w:val="0"/>
          <w:sz w:val="24"/>
          <w:lang w:bidi="ar"/>
          <w14:textFill>
            <w14:solidFill>
              <w14:schemeClr w14:val="tx1"/>
            </w14:solidFill>
          </w14:textFill>
        </w:rPr>
        <w:t>月</w:t>
      </w:r>
      <w:r>
        <w:rPr>
          <w:rFonts w:hint="eastAsia" w:ascii="Times New Roman" w:hAnsi="Times New Roman" w:cs="Times New Roman"/>
          <w:color w:val="000000" w:themeColor="text1"/>
          <w:kern w:val="0"/>
          <w:sz w:val="24"/>
          <w:lang w:val="en-US" w:eastAsia="zh-CN" w:bidi="ar"/>
          <w14:textFill>
            <w14:solidFill>
              <w14:schemeClr w14:val="tx1"/>
            </w14:solidFill>
          </w14:textFill>
        </w:rPr>
        <w:t>6</w:t>
      </w:r>
      <w:r>
        <w:rPr>
          <w:rFonts w:hint="default" w:ascii="Times New Roman" w:hAnsi="Times New Roman" w:cs="Times New Roman"/>
          <w:color w:val="000000" w:themeColor="text1"/>
          <w:kern w:val="0"/>
          <w:sz w:val="24"/>
          <w:lang w:bidi="ar"/>
          <w14:textFill>
            <w14:solidFill>
              <w14:schemeClr w14:val="tx1"/>
            </w14:solidFill>
          </w14:textFill>
        </w:rPr>
        <w:t>日</w:t>
      </w:r>
    </w:p>
    <w:p w14:paraId="118E898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000000"/>
          <w:kern w:val="0"/>
          <w:sz w:val="24"/>
          <w:szCs w:val="24"/>
          <w:lang w:val="en-US" w:eastAsia="zh-CN" w:bidi="ar"/>
        </w:rPr>
      </w:pP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3955B1">
    <w:pPr>
      <w:pStyle w:val="3"/>
    </w:pPr>
    <w:bookmarkStart w:id="0" w:name="_GoBack"/>
    <w:bookmarkEnd w:id="0"/>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174E6888">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174E6888">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F53051">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39506E"/>
    <w:rsid w:val="078523E2"/>
    <w:rsid w:val="0BC158FA"/>
    <w:rsid w:val="2239506E"/>
    <w:rsid w:val="264F20E4"/>
    <w:rsid w:val="46AD3A17"/>
    <w:rsid w:val="4E4933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rPr>
      <w:sz w:val="21"/>
      <w:szCs w:val="21"/>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Table Text"/>
    <w:basedOn w:val="1"/>
    <w:semiHidden/>
    <w:qFormat/>
    <w:uiPriority w:val="0"/>
    <w:rPr>
      <w:rFonts w:ascii="仿宋" w:hAnsi="仿宋" w:eastAsia="仿宋" w:cs="仿宋"/>
      <w:sz w:val="20"/>
      <w:szCs w:val="20"/>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2130</Words>
  <Characters>2308</Characters>
  <Lines>0</Lines>
  <Paragraphs>0</Paragraphs>
  <TotalTime>0</TotalTime>
  <ScaleCrop>false</ScaleCrop>
  <LinksUpToDate>false</LinksUpToDate>
  <CharactersWithSpaces>2309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2026-05-14T06:50:00Z</dcterms:created>
  <dc:creator>陆鹏飞</dc:creator>
  <cp:lastModifiedBy>lpf</cp:lastModifiedBy>
  <dcterms:modified xsi:type="dcterms:W3CDTF">2026-07-09T02:15:52Z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51EE252998E548588AE208555BEF6673_11</vt:lpwstr>
  </property>
  <property fmtid="{D5CDD505-2E9C-101B-9397-08002B2CF9AE}" pid="4" name="KSOTemplateDocerSaveRecord">
    <vt:lpwstr>eyJoZGlkIjoiZmM5YzJmNWI3MjYyM2VlYWEwMjZlN2JlZTdkZGRiNzciLCJ1c2VySWQiOiIzMTAxNjExODAifQ==</vt:lpwstr>
  </property>
</Properties>
</file>